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D1" w:rsidRPr="0046798C" w:rsidRDefault="009730D1" w:rsidP="004E71A8">
      <w:pPr>
        <w:shd w:val="clear" w:color="auto" w:fill="FFFFFF"/>
        <w:suppressAutoHyphens w:val="0"/>
        <w:spacing w:before="100" w:beforeAutospacing="1" w:after="100" w:afterAutospacing="1" w:line="288" w:lineRule="atLeast"/>
        <w:rPr>
          <w:rFonts w:cs="Times New Roman"/>
          <w:bCs/>
          <w:kern w:val="0"/>
          <w:szCs w:val="24"/>
          <w:lang w:eastAsia="en-US"/>
        </w:rPr>
      </w:pPr>
      <w:bookmarkStart w:id="0" w:name="_GoBack"/>
      <w:bookmarkEnd w:id="0"/>
      <w:r w:rsidRPr="0046798C">
        <w:rPr>
          <w:rFonts w:cs="Times New Roman"/>
          <w:bCs/>
          <w:kern w:val="0"/>
          <w:szCs w:val="24"/>
          <w:lang w:eastAsia="en-US"/>
        </w:rPr>
        <w:t xml:space="preserve">Sakarya Üniversitesi Yatay Geçiş Senato </w:t>
      </w:r>
      <w:proofErr w:type="spellStart"/>
      <w:r w:rsidRPr="0046798C">
        <w:rPr>
          <w:rFonts w:cs="Times New Roman"/>
          <w:bCs/>
          <w:kern w:val="0"/>
          <w:szCs w:val="24"/>
          <w:lang w:eastAsia="en-US"/>
        </w:rPr>
        <w:t>Esasları’na</w:t>
      </w:r>
      <w:proofErr w:type="spellEnd"/>
      <w:r w:rsidRPr="0046798C">
        <w:rPr>
          <w:rFonts w:cs="Times New Roman"/>
          <w:bCs/>
          <w:kern w:val="0"/>
          <w:szCs w:val="24"/>
          <w:lang w:eastAsia="en-US"/>
        </w:rPr>
        <w:t xml:space="preserve"> bazı maddeler eklenmesine ilişkin Senato Kararı</w:t>
      </w:r>
    </w:p>
    <w:p w:rsidR="009730D1" w:rsidRPr="0046798C" w:rsidRDefault="009730D1" w:rsidP="004E71A8">
      <w:pPr>
        <w:shd w:val="clear" w:color="auto" w:fill="FFFFFF"/>
        <w:suppressAutoHyphens w:val="0"/>
        <w:spacing w:before="100" w:beforeAutospacing="1" w:after="100" w:afterAutospacing="1" w:line="288" w:lineRule="atLeast"/>
        <w:rPr>
          <w:rFonts w:eastAsia="Times New Roman" w:cs="Times New Roman"/>
          <w:color w:val="222222"/>
          <w:kern w:val="0"/>
          <w:szCs w:val="24"/>
          <w:lang w:eastAsia="tr-TR"/>
        </w:rPr>
      </w:pPr>
      <w:r w:rsidRPr="0046798C">
        <w:rPr>
          <w:rFonts w:cs="Times New Roman"/>
          <w:b/>
          <w:bCs/>
          <w:kern w:val="0"/>
          <w:szCs w:val="24"/>
          <w:lang w:eastAsia="en-US"/>
        </w:rPr>
        <w:t>Madde 1:</w:t>
      </w:r>
      <w:r w:rsidRPr="0046798C">
        <w:rPr>
          <w:rFonts w:cs="Times New Roman"/>
          <w:bCs/>
          <w:kern w:val="0"/>
          <w:szCs w:val="24"/>
          <w:lang w:eastAsia="en-US"/>
        </w:rPr>
        <w:t xml:space="preserve"> Sakarya Üniversitesi Yatay Geçiş Senato </w:t>
      </w:r>
      <w:proofErr w:type="spellStart"/>
      <w:r w:rsidRPr="0046798C">
        <w:rPr>
          <w:rFonts w:cs="Times New Roman"/>
          <w:bCs/>
          <w:kern w:val="0"/>
          <w:szCs w:val="24"/>
          <w:lang w:eastAsia="en-US"/>
        </w:rPr>
        <w:t>Esasları’nın</w:t>
      </w:r>
      <w:proofErr w:type="spellEnd"/>
      <w:r w:rsidRPr="0046798C">
        <w:rPr>
          <w:rFonts w:cs="Times New Roman"/>
          <w:bCs/>
          <w:kern w:val="0"/>
          <w:szCs w:val="24"/>
          <w:lang w:eastAsia="en-US"/>
        </w:rPr>
        <w:t xml:space="preserve"> Tanımlar kısmının 3. maddesine 4 </w:t>
      </w:r>
      <w:proofErr w:type="spellStart"/>
      <w:r w:rsidRPr="0046798C">
        <w:rPr>
          <w:rFonts w:cs="Times New Roman"/>
          <w:bCs/>
          <w:kern w:val="0"/>
          <w:szCs w:val="24"/>
          <w:lang w:eastAsia="en-US"/>
        </w:rPr>
        <w:t>nolu</w:t>
      </w:r>
      <w:proofErr w:type="spellEnd"/>
      <w:r w:rsidRPr="0046798C">
        <w:rPr>
          <w:rFonts w:cs="Times New Roman"/>
          <w:bCs/>
          <w:kern w:val="0"/>
          <w:szCs w:val="24"/>
          <w:lang w:eastAsia="en-US"/>
        </w:rPr>
        <w:t xml:space="preserve"> bent olarak aşağıdaki tanım eklenir. </w:t>
      </w:r>
    </w:p>
    <w:p w:rsidR="009730D1" w:rsidRPr="0046798C" w:rsidRDefault="009730D1" w:rsidP="009730D1">
      <w:pPr>
        <w:shd w:val="clear" w:color="auto" w:fill="FFFFFF"/>
        <w:suppressAutoHyphens w:val="0"/>
        <w:spacing w:before="100" w:beforeAutospacing="1" w:after="100" w:afterAutospacing="1" w:line="288" w:lineRule="atLeast"/>
        <w:rPr>
          <w:rFonts w:cs="Times New Roman"/>
          <w:kern w:val="0"/>
          <w:szCs w:val="24"/>
          <w:lang w:eastAsia="en-US"/>
        </w:rPr>
      </w:pPr>
      <w:r w:rsidRPr="0046798C">
        <w:rPr>
          <w:rFonts w:eastAsia="Times New Roman" w:cs="Times New Roman"/>
          <w:color w:val="222222"/>
          <w:kern w:val="0"/>
          <w:szCs w:val="24"/>
          <w:lang w:eastAsia="tr-TR"/>
        </w:rPr>
        <w:t>“</w:t>
      </w:r>
      <w:r w:rsidRPr="0046798C">
        <w:rPr>
          <w:rFonts w:eastAsia="Times New Roman" w:cs="Times New Roman"/>
          <w:b/>
          <w:color w:val="222222"/>
          <w:kern w:val="0"/>
          <w:szCs w:val="24"/>
          <w:lang w:eastAsia="tr-TR"/>
        </w:rPr>
        <w:t>4. Dikey Geçiş Puanı:</w:t>
      </w:r>
      <w:r w:rsidRPr="0046798C">
        <w:rPr>
          <w:rFonts w:eastAsia="Times New Roman" w:cs="Times New Roman"/>
          <w:color w:val="222222"/>
          <w:kern w:val="0"/>
          <w:szCs w:val="24"/>
          <w:lang w:eastAsia="tr-TR"/>
        </w:rPr>
        <w:t xml:space="preserve"> </w:t>
      </w:r>
      <w:r w:rsidRPr="0046798C">
        <w:rPr>
          <w:rFonts w:cs="Times New Roman"/>
          <w:kern w:val="0"/>
          <w:szCs w:val="24"/>
          <w:lang w:eastAsia="en-US"/>
        </w:rPr>
        <w:t>Yatay geçiş başvurusunda bulunan öğrencinin ÖSYM tarafından yapılan Dikey Geçiş Sınavı sonucu mevcut diploma programına yerleşirken aldığı puanı,”</w:t>
      </w:r>
    </w:p>
    <w:p w:rsidR="009730D1" w:rsidRPr="0046798C" w:rsidRDefault="009730D1" w:rsidP="009730D1">
      <w:pPr>
        <w:shd w:val="clear" w:color="auto" w:fill="FFFFFF"/>
        <w:suppressAutoHyphens w:val="0"/>
        <w:spacing w:before="100" w:beforeAutospacing="1" w:after="100" w:afterAutospacing="1" w:line="288" w:lineRule="atLeast"/>
        <w:rPr>
          <w:rFonts w:eastAsia="Times New Roman" w:cs="Times New Roman"/>
          <w:color w:val="222222"/>
          <w:kern w:val="0"/>
          <w:szCs w:val="24"/>
          <w:lang w:eastAsia="tr-TR"/>
        </w:rPr>
      </w:pPr>
      <w:r w:rsidRPr="002255A4">
        <w:rPr>
          <w:rFonts w:cs="Times New Roman"/>
          <w:b/>
          <w:kern w:val="0"/>
          <w:szCs w:val="24"/>
          <w:lang w:eastAsia="en-US"/>
        </w:rPr>
        <w:t>Madde 2:</w:t>
      </w:r>
      <w:r w:rsidRPr="0046798C">
        <w:rPr>
          <w:rFonts w:cs="Times New Roman"/>
          <w:kern w:val="0"/>
          <w:szCs w:val="24"/>
          <w:lang w:eastAsia="en-US"/>
        </w:rPr>
        <w:t xml:space="preserve"> </w:t>
      </w:r>
      <w:r w:rsidRPr="0046798C">
        <w:rPr>
          <w:rFonts w:cs="Times New Roman"/>
          <w:bCs/>
          <w:kern w:val="0"/>
          <w:szCs w:val="24"/>
          <w:lang w:eastAsia="en-US"/>
        </w:rPr>
        <w:t xml:space="preserve">Sakarya Üniversitesi Yatay Geçiş Senato </w:t>
      </w:r>
      <w:proofErr w:type="spellStart"/>
      <w:r w:rsidRPr="0046798C">
        <w:rPr>
          <w:rFonts w:cs="Times New Roman"/>
          <w:bCs/>
          <w:kern w:val="0"/>
          <w:szCs w:val="24"/>
          <w:lang w:eastAsia="en-US"/>
        </w:rPr>
        <w:t>Esasları’nın</w:t>
      </w:r>
      <w:proofErr w:type="spellEnd"/>
      <w:r w:rsidRPr="0046798C">
        <w:rPr>
          <w:rFonts w:cs="Times New Roman"/>
          <w:bCs/>
          <w:kern w:val="0"/>
          <w:szCs w:val="24"/>
          <w:lang w:eastAsia="en-US"/>
        </w:rPr>
        <w:t xml:space="preserve"> Merkezi Yerleştirme Puanıyla Yatay Geçiş kısmına (4) </w:t>
      </w:r>
      <w:proofErr w:type="spellStart"/>
      <w:r w:rsidRPr="0046798C">
        <w:rPr>
          <w:rFonts w:cs="Times New Roman"/>
          <w:bCs/>
          <w:kern w:val="0"/>
          <w:szCs w:val="24"/>
          <w:lang w:eastAsia="en-US"/>
        </w:rPr>
        <w:t>nolu</w:t>
      </w:r>
      <w:proofErr w:type="spellEnd"/>
      <w:r w:rsidRPr="0046798C">
        <w:rPr>
          <w:rFonts w:cs="Times New Roman"/>
          <w:bCs/>
          <w:kern w:val="0"/>
          <w:szCs w:val="24"/>
          <w:lang w:eastAsia="en-US"/>
        </w:rPr>
        <w:t xml:space="preserve"> fıkra </w:t>
      </w:r>
      <w:r w:rsidR="00EE03DE" w:rsidRPr="0046798C">
        <w:rPr>
          <w:rFonts w:cs="Times New Roman"/>
          <w:bCs/>
          <w:kern w:val="0"/>
          <w:szCs w:val="24"/>
          <w:lang w:eastAsia="en-US"/>
        </w:rPr>
        <w:t xml:space="preserve">ve devamı </w:t>
      </w:r>
      <w:r w:rsidRPr="0046798C">
        <w:rPr>
          <w:rFonts w:cs="Times New Roman"/>
          <w:bCs/>
          <w:kern w:val="0"/>
          <w:szCs w:val="24"/>
          <w:lang w:eastAsia="en-US"/>
        </w:rPr>
        <w:t>olarak aşağıdaki hükümler eklenir</w:t>
      </w:r>
    </w:p>
    <w:p w:rsidR="009730D1" w:rsidRPr="0046798C" w:rsidRDefault="009730D1" w:rsidP="004E71A8">
      <w:pPr>
        <w:shd w:val="clear" w:color="auto" w:fill="FFFFFF"/>
        <w:suppressAutoHyphens w:val="0"/>
        <w:spacing w:before="100" w:beforeAutospacing="1" w:after="100" w:afterAutospacing="1" w:line="288" w:lineRule="atLeast"/>
        <w:rPr>
          <w:rFonts w:eastAsia="Times New Roman" w:cs="Times New Roman"/>
          <w:color w:val="222222"/>
          <w:kern w:val="0"/>
          <w:szCs w:val="24"/>
          <w:lang w:eastAsia="tr-TR"/>
        </w:rPr>
      </w:pPr>
      <w:r w:rsidRPr="0046798C">
        <w:rPr>
          <w:rFonts w:eastAsia="Times New Roman" w:cs="Times New Roman"/>
          <w:color w:val="222222"/>
          <w:kern w:val="0"/>
          <w:szCs w:val="24"/>
          <w:lang w:eastAsia="tr-TR"/>
        </w:rPr>
        <w:t>“</w:t>
      </w:r>
      <w:r w:rsidR="00EE03DE" w:rsidRPr="0046798C">
        <w:rPr>
          <w:rFonts w:eastAsia="Times New Roman" w:cs="Times New Roman"/>
          <w:color w:val="222222"/>
          <w:kern w:val="0"/>
          <w:szCs w:val="24"/>
          <w:lang w:eastAsia="tr-TR"/>
        </w:rPr>
        <w:t xml:space="preserve">(4) </w:t>
      </w:r>
      <w:r w:rsidR="006C1BB7" w:rsidRPr="0046798C">
        <w:rPr>
          <w:rFonts w:eastAsia="Times New Roman" w:cs="Times New Roman"/>
          <w:color w:val="222222"/>
          <w:kern w:val="0"/>
          <w:szCs w:val="24"/>
          <w:lang w:eastAsia="tr-TR"/>
        </w:rPr>
        <w:t>Dikey Geçiş Sınavı</w:t>
      </w:r>
      <w:r w:rsidRPr="0046798C">
        <w:rPr>
          <w:rFonts w:eastAsia="Times New Roman" w:cs="Times New Roman"/>
          <w:color w:val="222222"/>
          <w:kern w:val="0"/>
          <w:szCs w:val="24"/>
          <w:lang w:eastAsia="tr-TR"/>
        </w:rPr>
        <w:t xml:space="preserve"> </w:t>
      </w:r>
      <w:r w:rsidR="006C1BB7" w:rsidRPr="0046798C">
        <w:rPr>
          <w:rFonts w:eastAsia="Times New Roman" w:cs="Times New Roman"/>
          <w:color w:val="222222"/>
          <w:kern w:val="0"/>
          <w:szCs w:val="24"/>
          <w:lang w:eastAsia="tr-TR"/>
        </w:rPr>
        <w:t xml:space="preserve">ile herhangi bir yükseköğretim programına yerleşenler de yerleştirildikleri yıldaki </w:t>
      </w:r>
      <w:r w:rsidR="00EE03DE" w:rsidRPr="0046798C">
        <w:rPr>
          <w:rFonts w:eastAsia="Times New Roman" w:cs="Times New Roman"/>
          <w:color w:val="222222"/>
          <w:kern w:val="0"/>
          <w:szCs w:val="24"/>
          <w:lang w:eastAsia="tr-TR"/>
        </w:rPr>
        <w:t>d</w:t>
      </w:r>
      <w:r w:rsidR="006C1BB7" w:rsidRPr="0046798C">
        <w:rPr>
          <w:rFonts w:eastAsia="Times New Roman" w:cs="Times New Roman"/>
          <w:color w:val="222222"/>
          <w:kern w:val="0"/>
          <w:szCs w:val="24"/>
          <w:lang w:eastAsia="tr-TR"/>
        </w:rPr>
        <w:t xml:space="preserve">ikey </w:t>
      </w:r>
      <w:r w:rsidR="00EE03DE" w:rsidRPr="0046798C">
        <w:rPr>
          <w:rFonts w:eastAsia="Times New Roman" w:cs="Times New Roman"/>
          <w:color w:val="222222"/>
          <w:kern w:val="0"/>
          <w:szCs w:val="24"/>
          <w:lang w:eastAsia="tr-TR"/>
        </w:rPr>
        <w:t>g</w:t>
      </w:r>
      <w:r w:rsidR="006C1BB7" w:rsidRPr="0046798C">
        <w:rPr>
          <w:rFonts w:eastAsia="Times New Roman" w:cs="Times New Roman"/>
          <w:color w:val="222222"/>
          <w:kern w:val="0"/>
          <w:szCs w:val="24"/>
          <w:lang w:eastAsia="tr-TR"/>
        </w:rPr>
        <w:t xml:space="preserve">eçiş </w:t>
      </w:r>
      <w:r w:rsidR="00EE03DE" w:rsidRPr="0046798C">
        <w:rPr>
          <w:rFonts w:eastAsia="Times New Roman" w:cs="Times New Roman"/>
          <w:color w:val="222222"/>
          <w:kern w:val="0"/>
          <w:szCs w:val="24"/>
          <w:lang w:eastAsia="tr-TR"/>
        </w:rPr>
        <w:t>p</w:t>
      </w:r>
      <w:r w:rsidR="006C1BB7" w:rsidRPr="0046798C">
        <w:rPr>
          <w:rFonts w:eastAsia="Times New Roman" w:cs="Times New Roman"/>
          <w:color w:val="222222"/>
          <w:kern w:val="0"/>
          <w:szCs w:val="24"/>
          <w:lang w:eastAsia="tr-TR"/>
        </w:rPr>
        <w:t>uanları ile yatay geçiş başvurusunda bulunabilirler.</w:t>
      </w:r>
    </w:p>
    <w:p w:rsidR="00EE03DE" w:rsidRPr="0046798C" w:rsidRDefault="00EE03DE" w:rsidP="00EE03DE">
      <w:pPr>
        <w:shd w:val="clear" w:color="auto" w:fill="FFFFFF"/>
        <w:suppressAutoHyphens w:val="0"/>
        <w:spacing w:before="100" w:beforeAutospacing="1" w:after="100" w:afterAutospacing="1" w:line="288" w:lineRule="atLeast"/>
        <w:rPr>
          <w:rFonts w:cs="Times New Roman"/>
          <w:kern w:val="0"/>
          <w:szCs w:val="24"/>
          <w:lang w:eastAsia="en-US"/>
        </w:rPr>
      </w:pPr>
      <w:r w:rsidRPr="0046798C">
        <w:rPr>
          <w:rFonts w:eastAsia="Times New Roman" w:cs="Times New Roman"/>
          <w:color w:val="222222"/>
          <w:kern w:val="0"/>
          <w:szCs w:val="24"/>
          <w:lang w:eastAsia="tr-TR"/>
        </w:rPr>
        <w:t>Öğrencinin</w:t>
      </w:r>
      <w:r w:rsidRPr="0046798C">
        <w:rPr>
          <w:rFonts w:cs="Times New Roman"/>
          <w:kern w:val="0"/>
          <w:szCs w:val="24"/>
          <w:lang w:eastAsia="en-US"/>
        </w:rPr>
        <w:t xml:space="preserve"> kayıt olduğu yıldaki dikey geçiş puanı, geçmek istediği diploma programına dikey geçiş yoluyla gelen başka öğrencilerin taban puanına eşit veya yüksek olması durumunda öğrenci yatay geçiş için başvuru yapabilir.</w:t>
      </w:r>
    </w:p>
    <w:p w:rsidR="006C1BB7" w:rsidRPr="0046798C" w:rsidRDefault="006C1BB7" w:rsidP="004E71A8">
      <w:pPr>
        <w:shd w:val="clear" w:color="auto" w:fill="FFFFFF"/>
        <w:suppressAutoHyphens w:val="0"/>
        <w:spacing w:before="100" w:beforeAutospacing="1" w:after="100" w:afterAutospacing="1" w:line="288" w:lineRule="atLeast"/>
        <w:rPr>
          <w:rFonts w:eastAsia="Times New Roman" w:cs="Times New Roman"/>
          <w:color w:val="222222"/>
          <w:kern w:val="0"/>
          <w:szCs w:val="24"/>
          <w:lang w:eastAsia="tr-TR"/>
        </w:rPr>
      </w:pPr>
      <w:r w:rsidRPr="0046798C">
        <w:rPr>
          <w:rFonts w:eastAsia="Times New Roman" w:cs="Times New Roman"/>
          <w:color w:val="222222"/>
          <w:kern w:val="0"/>
          <w:szCs w:val="24"/>
          <w:lang w:eastAsia="tr-TR"/>
        </w:rPr>
        <w:t xml:space="preserve">Dikey Geçiş Puanı ile </w:t>
      </w:r>
      <w:r w:rsidR="00EE03DE" w:rsidRPr="0046798C">
        <w:rPr>
          <w:rFonts w:eastAsia="Times New Roman" w:cs="Times New Roman"/>
          <w:color w:val="222222"/>
          <w:kern w:val="0"/>
          <w:szCs w:val="24"/>
          <w:lang w:eastAsia="tr-TR"/>
        </w:rPr>
        <w:t xml:space="preserve">yatay geçiş başvuruları, sadece ilgili yıldaki DGS Kılavuzunda öğrencinin </w:t>
      </w:r>
      <w:proofErr w:type="spellStart"/>
      <w:r w:rsidR="00EE03DE" w:rsidRPr="0046798C">
        <w:rPr>
          <w:rFonts w:eastAsia="Times New Roman" w:cs="Times New Roman"/>
          <w:color w:val="222222"/>
          <w:kern w:val="0"/>
          <w:szCs w:val="24"/>
          <w:lang w:eastAsia="tr-TR"/>
        </w:rPr>
        <w:t>önlisans</w:t>
      </w:r>
      <w:proofErr w:type="spellEnd"/>
      <w:r w:rsidR="00EE03DE" w:rsidRPr="0046798C">
        <w:rPr>
          <w:rFonts w:eastAsia="Times New Roman" w:cs="Times New Roman"/>
          <w:color w:val="222222"/>
          <w:kern w:val="0"/>
          <w:szCs w:val="24"/>
          <w:lang w:eastAsia="tr-TR"/>
        </w:rPr>
        <w:t xml:space="preserve"> alanı ile tercih edebileceği yerlere yapılır.</w:t>
      </w:r>
    </w:p>
    <w:p w:rsidR="004E71A8" w:rsidRPr="0046798C" w:rsidRDefault="00EE03DE" w:rsidP="004E71A8">
      <w:pPr>
        <w:shd w:val="clear" w:color="auto" w:fill="FFFFFF"/>
        <w:suppressAutoHyphens w:val="0"/>
        <w:spacing w:before="100" w:beforeAutospacing="1" w:after="100" w:afterAutospacing="1" w:line="288" w:lineRule="atLeast"/>
        <w:rPr>
          <w:rFonts w:eastAsia="Times New Roman" w:cs="Times New Roman"/>
          <w:color w:val="222222"/>
          <w:kern w:val="0"/>
          <w:sz w:val="19"/>
          <w:szCs w:val="19"/>
          <w:lang w:eastAsia="tr-TR"/>
        </w:rPr>
      </w:pPr>
      <w:r w:rsidRPr="0046798C">
        <w:rPr>
          <w:rFonts w:eastAsia="Times New Roman" w:cs="Times New Roman"/>
          <w:color w:val="222222"/>
          <w:kern w:val="0"/>
          <w:szCs w:val="24"/>
          <w:lang w:eastAsia="tr-TR"/>
        </w:rPr>
        <w:t xml:space="preserve">(5) Dikey geçiş puanı ile yapılan yatay geçiş başvurularına ayrılan kontenjan </w:t>
      </w:r>
      <w:r w:rsidR="0046798C">
        <w:rPr>
          <w:rFonts w:eastAsia="Times New Roman" w:cs="Times New Roman"/>
          <w:color w:val="222222"/>
          <w:kern w:val="0"/>
          <w:szCs w:val="24"/>
          <w:lang w:eastAsia="tr-TR"/>
        </w:rPr>
        <w:t>m</w:t>
      </w:r>
      <w:r w:rsidRPr="0046798C">
        <w:rPr>
          <w:rFonts w:eastAsia="Times New Roman" w:cs="Times New Roman"/>
          <w:color w:val="222222"/>
          <w:kern w:val="0"/>
          <w:szCs w:val="24"/>
          <w:lang w:eastAsia="tr-TR"/>
        </w:rPr>
        <w:t xml:space="preserve">erkezi </w:t>
      </w:r>
      <w:r w:rsidR="0046798C">
        <w:rPr>
          <w:rFonts w:eastAsia="Times New Roman" w:cs="Times New Roman"/>
          <w:color w:val="222222"/>
          <w:kern w:val="0"/>
          <w:szCs w:val="24"/>
          <w:lang w:eastAsia="tr-TR"/>
        </w:rPr>
        <w:t>y</w:t>
      </w:r>
      <w:r w:rsidRPr="0046798C">
        <w:rPr>
          <w:rFonts w:eastAsia="Times New Roman" w:cs="Times New Roman"/>
          <w:color w:val="222222"/>
          <w:kern w:val="0"/>
          <w:szCs w:val="24"/>
          <w:lang w:eastAsia="tr-TR"/>
        </w:rPr>
        <w:t xml:space="preserve">erleştirme </w:t>
      </w:r>
      <w:r w:rsidR="0046798C">
        <w:rPr>
          <w:rFonts w:eastAsia="Times New Roman" w:cs="Times New Roman"/>
          <w:color w:val="222222"/>
          <w:kern w:val="0"/>
          <w:szCs w:val="24"/>
          <w:lang w:eastAsia="tr-TR"/>
        </w:rPr>
        <w:t>p</w:t>
      </w:r>
      <w:r w:rsidRPr="0046798C">
        <w:rPr>
          <w:rFonts w:eastAsia="Times New Roman" w:cs="Times New Roman"/>
          <w:color w:val="222222"/>
          <w:kern w:val="0"/>
          <w:szCs w:val="24"/>
          <w:lang w:eastAsia="tr-TR"/>
        </w:rPr>
        <w:t xml:space="preserve">uanı ile yatay geçişler için ayrılan kontenjanla ilişkilidir. </w:t>
      </w:r>
      <w:r w:rsidR="00787301">
        <w:rPr>
          <w:rFonts w:eastAsia="Times New Roman" w:cs="Times New Roman"/>
          <w:color w:val="222222"/>
          <w:kern w:val="0"/>
          <w:szCs w:val="24"/>
          <w:lang w:eastAsia="tr-TR"/>
        </w:rPr>
        <w:t xml:space="preserve">Dikey Geçişlere ayrılan kontenjanlar, toplam merkezi yerleştirme kontenjanlarına oranlanmıştır. Dikey geçiş kontenjanı dışında kalan kontenjanlar merkezi yerleştirme puanı ile yatay geçişlere tahsis edilmiş olur. </w:t>
      </w:r>
      <w:r w:rsidRPr="0046798C">
        <w:rPr>
          <w:rFonts w:eastAsia="Times New Roman" w:cs="Times New Roman"/>
          <w:color w:val="222222"/>
          <w:kern w:val="0"/>
          <w:szCs w:val="24"/>
          <w:lang w:eastAsia="tr-TR"/>
        </w:rPr>
        <w:t xml:space="preserve">Buna göre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40"/>
        <w:gridCol w:w="3685"/>
      </w:tblGrid>
      <w:tr w:rsidR="00787301" w:rsidRPr="0046798C" w:rsidTr="00787301">
        <w:tc>
          <w:tcPr>
            <w:tcW w:w="3940" w:type="dxa"/>
            <w:shd w:val="clear" w:color="auto" w:fill="FFFFFF"/>
          </w:tcPr>
          <w:p w:rsidR="00787301" w:rsidRPr="0046798C" w:rsidRDefault="00787301" w:rsidP="0046798C">
            <w:pPr>
              <w:suppressAutoHyphens w:val="0"/>
              <w:spacing w:before="0" w:after="0" w:line="288" w:lineRule="atLeast"/>
              <w:jc w:val="center"/>
              <w:rPr>
                <w:rFonts w:eastAsia="Times New Roman" w:cs="Times New Roman"/>
                <w:b/>
                <w:bCs/>
                <w:color w:val="222222"/>
                <w:kern w:val="0"/>
                <w:szCs w:val="24"/>
                <w:lang w:eastAsia="tr-TR"/>
              </w:rPr>
            </w:pPr>
            <w:r>
              <w:rPr>
                <w:rFonts w:eastAsia="Times New Roman" w:cs="Times New Roman"/>
                <w:b/>
                <w:bCs/>
                <w:color w:val="222222"/>
                <w:kern w:val="0"/>
                <w:szCs w:val="24"/>
                <w:lang w:eastAsia="tr-TR"/>
              </w:rPr>
              <w:t>Merkezi Yerleştirme Yatay Geçiş Toplam Kontenjanı</w:t>
            </w:r>
          </w:p>
        </w:tc>
        <w:tc>
          <w:tcPr>
            <w:tcW w:w="3685" w:type="dxa"/>
            <w:shd w:val="clear" w:color="auto" w:fill="FFFFFF"/>
            <w:tcMar>
              <w:top w:w="0" w:type="dxa"/>
              <w:left w:w="108" w:type="dxa"/>
              <w:bottom w:w="0" w:type="dxa"/>
              <w:right w:w="108" w:type="dxa"/>
            </w:tcMar>
            <w:hideMark/>
          </w:tcPr>
          <w:p w:rsidR="00787301" w:rsidRPr="0046798C" w:rsidRDefault="00787301" w:rsidP="004E71A8">
            <w:pPr>
              <w:suppressAutoHyphens w:val="0"/>
              <w:spacing w:before="0" w:after="0" w:line="288" w:lineRule="atLeast"/>
              <w:jc w:val="center"/>
              <w:rPr>
                <w:rFonts w:eastAsia="Times New Roman" w:cs="Times New Roman"/>
                <w:color w:val="222222"/>
                <w:kern w:val="0"/>
                <w:szCs w:val="24"/>
                <w:lang w:eastAsia="tr-TR"/>
              </w:rPr>
            </w:pPr>
            <w:r w:rsidRPr="0046798C">
              <w:rPr>
                <w:rFonts w:eastAsia="Times New Roman" w:cs="Times New Roman"/>
                <w:b/>
                <w:bCs/>
                <w:color w:val="222222"/>
                <w:kern w:val="0"/>
                <w:szCs w:val="24"/>
                <w:lang w:eastAsia="tr-TR"/>
              </w:rPr>
              <w:t>Dikey Geçiş Puanı ile Yatay Geçiş</w:t>
            </w:r>
            <w:r>
              <w:rPr>
                <w:rFonts w:eastAsia="Times New Roman" w:cs="Times New Roman"/>
                <w:b/>
                <w:bCs/>
                <w:color w:val="222222"/>
                <w:kern w:val="0"/>
                <w:szCs w:val="24"/>
                <w:lang w:eastAsia="tr-TR"/>
              </w:rPr>
              <w:t>e Tahsis Edilen Kontenjan</w:t>
            </w:r>
          </w:p>
        </w:tc>
      </w:tr>
      <w:tr w:rsidR="00787301" w:rsidRPr="0046798C" w:rsidTr="00787301">
        <w:tc>
          <w:tcPr>
            <w:tcW w:w="3940" w:type="dxa"/>
            <w:shd w:val="clear" w:color="auto" w:fill="FFFFFF"/>
          </w:tcPr>
          <w:p w:rsidR="00787301" w:rsidRDefault="00787301" w:rsidP="004E71A8">
            <w:pPr>
              <w:suppressAutoHyphens w:val="0"/>
              <w:spacing w:before="0" w:after="0" w:line="288" w:lineRule="atLeast"/>
              <w:jc w:val="center"/>
              <w:rPr>
                <w:rFonts w:eastAsia="Times New Roman" w:cs="Times New Roman"/>
                <w:color w:val="222222"/>
                <w:kern w:val="0"/>
                <w:szCs w:val="24"/>
                <w:lang w:eastAsia="tr-TR"/>
              </w:rPr>
            </w:pPr>
            <w:r>
              <w:rPr>
                <w:rFonts w:eastAsia="Times New Roman" w:cs="Times New Roman"/>
                <w:color w:val="222222"/>
                <w:kern w:val="0"/>
                <w:szCs w:val="24"/>
                <w:lang w:eastAsia="tr-TR"/>
              </w:rPr>
              <w:t>1</w:t>
            </w:r>
          </w:p>
        </w:tc>
        <w:tc>
          <w:tcPr>
            <w:tcW w:w="3685" w:type="dxa"/>
            <w:shd w:val="clear" w:color="auto" w:fill="FFFFFF"/>
            <w:tcMar>
              <w:top w:w="0" w:type="dxa"/>
              <w:left w:w="108" w:type="dxa"/>
              <w:bottom w:w="0" w:type="dxa"/>
              <w:right w:w="108" w:type="dxa"/>
            </w:tcMar>
          </w:tcPr>
          <w:p w:rsidR="00787301" w:rsidRPr="0046798C" w:rsidRDefault="00787301" w:rsidP="004E71A8">
            <w:pPr>
              <w:suppressAutoHyphens w:val="0"/>
              <w:spacing w:before="0" w:after="0" w:line="288" w:lineRule="atLeast"/>
              <w:jc w:val="center"/>
              <w:rPr>
                <w:rFonts w:eastAsia="Times New Roman" w:cs="Times New Roman"/>
                <w:color w:val="222222"/>
                <w:kern w:val="0"/>
                <w:szCs w:val="24"/>
                <w:lang w:eastAsia="tr-TR"/>
              </w:rPr>
            </w:pPr>
            <w:r>
              <w:rPr>
                <w:rFonts w:eastAsia="Times New Roman" w:cs="Times New Roman"/>
                <w:color w:val="222222"/>
                <w:kern w:val="0"/>
                <w:szCs w:val="24"/>
                <w:lang w:eastAsia="tr-TR"/>
              </w:rPr>
              <w:t>-</w:t>
            </w:r>
          </w:p>
        </w:tc>
      </w:tr>
      <w:tr w:rsidR="00787301" w:rsidRPr="0046798C" w:rsidTr="00787301">
        <w:tc>
          <w:tcPr>
            <w:tcW w:w="3940" w:type="dxa"/>
            <w:shd w:val="clear" w:color="auto" w:fill="FFFFFF"/>
          </w:tcPr>
          <w:p w:rsidR="00787301" w:rsidRPr="0046798C" w:rsidRDefault="00787301" w:rsidP="004C253C">
            <w:pPr>
              <w:suppressAutoHyphens w:val="0"/>
              <w:spacing w:before="0" w:after="0" w:line="288" w:lineRule="atLeast"/>
              <w:jc w:val="center"/>
              <w:rPr>
                <w:rFonts w:eastAsia="Times New Roman" w:cs="Times New Roman"/>
                <w:color w:val="222222"/>
                <w:kern w:val="0"/>
                <w:szCs w:val="24"/>
                <w:lang w:eastAsia="tr-TR"/>
              </w:rPr>
            </w:pPr>
            <w:r w:rsidRPr="0046798C">
              <w:rPr>
                <w:rFonts w:eastAsia="Times New Roman" w:cs="Times New Roman"/>
                <w:color w:val="222222"/>
                <w:kern w:val="0"/>
                <w:szCs w:val="24"/>
                <w:lang w:eastAsia="tr-TR"/>
              </w:rPr>
              <w:t>5</w:t>
            </w:r>
            <w:r>
              <w:rPr>
                <w:rFonts w:eastAsia="Times New Roman" w:cs="Times New Roman"/>
                <w:color w:val="222222"/>
                <w:kern w:val="0"/>
                <w:szCs w:val="24"/>
                <w:lang w:eastAsia="tr-TR"/>
              </w:rPr>
              <w:t xml:space="preserve">’e kadar 5 </w:t>
            </w:r>
            <w:proofErr w:type="gramStart"/>
            <w:r>
              <w:rPr>
                <w:rFonts w:eastAsia="Times New Roman" w:cs="Times New Roman"/>
                <w:color w:val="222222"/>
                <w:kern w:val="0"/>
                <w:szCs w:val="24"/>
                <w:lang w:eastAsia="tr-TR"/>
              </w:rPr>
              <w:t>dahil</w:t>
            </w:r>
            <w:proofErr w:type="gramEnd"/>
          </w:p>
        </w:tc>
        <w:tc>
          <w:tcPr>
            <w:tcW w:w="3685" w:type="dxa"/>
            <w:shd w:val="clear" w:color="auto" w:fill="FFFFFF"/>
            <w:tcMar>
              <w:top w:w="0" w:type="dxa"/>
              <w:left w:w="108" w:type="dxa"/>
              <w:bottom w:w="0" w:type="dxa"/>
              <w:right w:w="108" w:type="dxa"/>
            </w:tcMar>
            <w:hideMark/>
          </w:tcPr>
          <w:p w:rsidR="00787301" w:rsidRPr="0046798C" w:rsidRDefault="00787301" w:rsidP="004E71A8">
            <w:pPr>
              <w:suppressAutoHyphens w:val="0"/>
              <w:spacing w:before="0" w:after="0" w:line="288" w:lineRule="atLeast"/>
              <w:jc w:val="center"/>
              <w:rPr>
                <w:rFonts w:eastAsia="Times New Roman" w:cs="Times New Roman"/>
                <w:color w:val="222222"/>
                <w:kern w:val="0"/>
                <w:szCs w:val="24"/>
                <w:lang w:eastAsia="tr-TR"/>
              </w:rPr>
            </w:pPr>
            <w:r w:rsidRPr="0046798C">
              <w:rPr>
                <w:rFonts w:eastAsia="Times New Roman" w:cs="Times New Roman"/>
                <w:color w:val="222222"/>
                <w:kern w:val="0"/>
                <w:szCs w:val="24"/>
                <w:lang w:eastAsia="tr-TR"/>
              </w:rPr>
              <w:t>1</w:t>
            </w:r>
          </w:p>
        </w:tc>
      </w:tr>
      <w:tr w:rsidR="00787301" w:rsidRPr="0046798C" w:rsidTr="00787301">
        <w:tc>
          <w:tcPr>
            <w:tcW w:w="3940" w:type="dxa"/>
            <w:shd w:val="clear" w:color="auto" w:fill="FFFFFF"/>
          </w:tcPr>
          <w:p w:rsidR="00787301" w:rsidRPr="0046798C" w:rsidRDefault="00787301" w:rsidP="004C253C">
            <w:pPr>
              <w:suppressAutoHyphens w:val="0"/>
              <w:spacing w:before="0" w:after="0" w:line="288" w:lineRule="atLeast"/>
              <w:jc w:val="center"/>
              <w:rPr>
                <w:rFonts w:eastAsia="Times New Roman" w:cs="Times New Roman"/>
                <w:color w:val="222222"/>
                <w:kern w:val="0"/>
                <w:szCs w:val="24"/>
                <w:lang w:eastAsia="tr-TR"/>
              </w:rPr>
            </w:pPr>
            <w:r>
              <w:rPr>
                <w:rFonts w:eastAsia="Times New Roman" w:cs="Times New Roman"/>
                <w:color w:val="222222"/>
                <w:kern w:val="0"/>
                <w:szCs w:val="24"/>
                <w:lang w:eastAsia="tr-TR"/>
              </w:rPr>
              <w:t xml:space="preserve">10’a kadar 10 </w:t>
            </w:r>
            <w:proofErr w:type="gramStart"/>
            <w:r>
              <w:rPr>
                <w:rFonts w:eastAsia="Times New Roman" w:cs="Times New Roman"/>
                <w:color w:val="222222"/>
                <w:kern w:val="0"/>
                <w:szCs w:val="24"/>
                <w:lang w:eastAsia="tr-TR"/>
              </w:rPr>
              <w:t>dahil</w:t>
            </w:r>
            <w:proofErr w:type="gramEnd"/>
          </w:p>
        </w:tc>
        <w:tc>
          <w:tcPr>
            <w:tcW w:w="3685" w:type="dxa"/>
            <w:shd w:val="clear" w:color="auto" w:fill="FFFFFF"/>
            <w:tcMar>
              <w:top w:w="0" w:type="dxa"/>
              <w:left w:w="108" w:type="dxa"/>
              <w:bottom w:w="0" w:type="dxa"/>
              <w:right w:w="108" w:type="dxa"/>
            </w:tcMar>
            <w:hideMark/>
          </w:tcPr>
          <w:p w:rsidR="00787301" w:rsidRPr="0046798C" w:rsidRDefault="00787301" w:rsidP="004E71A8">
            <w:pPr>
              <w:suppressAutoHyphens w:val="0"/>
              <w:spacing w:before="0" w:after="0" w:line="288" w:lineRule="atLeast"/>
              <w:jc w:val="center"/>
              <w:rPr>
                <w:rFonts w:eastAsia="Times New Roman" w:cs="Times New Roman"/>
                <w:color w:val="222222"/>
                <w:kern w:val="0"/>
                <w:szCs w:val="24"/>
                <w:lang w:eastAsia="tr-TR"/>
              </w:rPr>
            </w:pPr>
            <w:r w:rsidRPr="0046798C">
              <w:rPr>
                <w:rFonts w:eastAsia="Times New Roman" w:cs="Times New Roman"/>
                <w:color w:val="222222"/>
                <w:kern w:val="0"/>
                <w:szCs w:val="24"/>
                <w:lang w:eastAsia="tr-TR"/>
              </w:rPr>
              <w:t>2</w:t>
            </w:r>
          </w:p>
        </w:tc>
      </w:tr>
      <w:tr w:rsidR="00787301" w:rsidRPr="0046798C" w:rsidTr="00787301">
        <w:tc>
          <w:tcPr>
            <w:tcW w:w="3940" w:type="dxa"/>
            <w:shd w:val="clear" w:color="auto" w:fill="FFFFFF"/>
          </w:tcPr>
          <w:p w:rsidR="00787301" w:rsidRPr="0046798C" w:rsidRDefault="00787301" w:rsidP="004C253C">
            <w:pPr>
              <w:suppressAutoHyphens w:val="0"/>
              <w:spacing w:before="0" w:after="0" w:line="288" w:lineRule="atLeast"/>
              <w:jc w:val="center"/>
              <w:rPr>
                <w:rFonts w:eastAsia="Times New Roman" w:cs="Times New Roman"/>
                <w:color w:val="222222"/>
                <w:kern w:val="0"/>
                <w:szCs w:val="24"/>
                <w:lang w:eastAsia="tr-TR"/>
              </w:rPr>
            </w:pPr>
            <w:r>
              <w:rPr>
                <w:rFonts w:eastAsia="Times New Roman" w:cs="Times New Roman"/>
                <w:color w:val="222222"/>
                <w:kern w:val="0"/>
                <w:szCs w:val="24"/>
                <w:lang w:eastAsia="tr-TR"/>
              </w:rPr>
              <w:t xml:space="preserve">15’e kadar 15 </w:t>
            </w:r>
            <w:proofErr w:type="gramStart"/>
            <w:r>
              <w:rPr>
                <w:rFonts w:eastAsia="Times New Roman" w:cs="Times New Roman"/>
                <w:color w:val="222222"/>
                <w:kern w:val="0"/>
                <w:szCs w:val="24"/>
                <w:lang w:eastAsia="tr-TR"/>
              </w:rPr>
              <w:t>dahil</w:t>
            </w:r>
            <w:proofErr w:type="gramEnd"/>
          </w:p>
        </w:tc>
        <w:tc>
          <w:tcPr>
            <w:tcW w:w="3685" w:type="dxa"/>
            <w:shd w:val="clear" w:color="auto" w:fill="FFFFFF"/>
            <w:tcMar>
              <w:top w:w="0" w:type="dxa"/>
              <w:left w:w="108" w:type="dxa"/>
              <w:bottom w:w="0" w:type="dxa"/>
              <w:right w:w="108" w:type="dxa"/>
            </w:tcMar>
            <w:hideMark/>
          </w:tcPr>
          <w:p w:rsidR="00787301" w:rsidRPr="0046798C" w:rsidRDefault="00787301" w:rsidP="004E71A8">
            <w:pPr>
              <w:suppressAutoHyphens w:val="0"/>
              <w:spacing w:before="0" w:after="0" w:line="288" w:lineRule="atLeast"/>
              <w:jc w:val="center"/>
              <w:rPr>
                <w:rFonts w:eastAsia="Times New Roman" w:cs="Times New Roman"/>
                <w:color w:val="222222"/>
                <w:kern w:val="0"/>
                <w:szCs w:val="24"/>
                <w:lang w:eastAsia="tr-TR"/>
              </w:rPr>
            </w:pPr>
            <w:r w:rsidRPr="0046798C">
              <w:rPr>
                <w:rFonts w:eastAsia="Times New Roman" w:cs="Times New Roman"/>
                <w:color w:val="222222"/>
                <w:kern w:val="0"/>
                <w:szCs w:val="24"/>
                <w:lang w:eastAsia="tr-TR"/>
              </w:rPr>
              <w:t>3</w:t>
            </w:r>
          </w:p>
        </w:tc>
      </w:tr>
      <w:tr w:rsidR="00787301" w:rsidRPr="0046798C" w:rsidTr="00787301">
        <w:tc>
          <w:tcPr>
            <w:tcW w:w="3940" w:type="dxa"/>
            <w:shd w:val="clear" w:color="auto" w:fill="FFFFFF"/>
          </w:tcPr>
          <w:p w:rsidR="00787301" w:rsidRPr="0046798C" w:rsidRDefault="00787301" w:rsidP="004C253C">
            <w:pPr>
              <w:suppressAutoHyphens w:val="0"/>
              <w:spacing w:before="0" w:after="0" w:line="288" w:lineRule="atLeast"/>
              <w:jc w:val="center"/>
              <w:rPr>
                <w:rFonts w:eastAsia="Times New Roman" w:cs="Times New Roman"/>
                <w:color w:val="222222"/>
                <w:kern w:val="0"/>
                <w:szCs w:val="24"/>
                <w:lang w:eastAsia="tr-TR"/>
              </w:rPr>
            </w:pPr>
            <w:r>
              <w:rPr>
                <w:rFonts w:eastAsia="Times New Roman" w:cs="Times New Roman"/>
                <w:color w:val="222222"/>
                <w:kern w:val="0"/>
                <w:szCs w:val="24"/>
                <w:lang w:eastAsia="tr-TR"/>
              </w:rPr>
              <w:t xml:space="preserve">20’ye kadar 20 </w:t>
            </w:r>
            <w:proofErr w:type="gramStart"/>
            <w:r>
              <w:rPr>
                <w:rFonts w:eastAsia="Times New Roman" w:cs="Times New Roman"/>
                <w:color w:val="222222"/>
                <w:kern w:val="0"/>
                <w:szCs w:val="24"/>
                <w:lang w:eastAsia="tr-TR"/>
              </w:rPr>
              <w:t>dahil</w:t>
            </w:r>
            <w:proofErr w:type="gramEnd"/>
          </w:p>
        </w:tc>
        <w:tc>
          <w:tcPr>
            <w:tcW w:w="3685" w:type="dxa"/>
            <w:shd w:val="clear" w:color="auto" w:fill="FFFFFF"/>
            <w:tcMar>
              <w:top w:w="0" w:type="dxa"/>
              <w:left w:w="108" w:type="dxa"/>
              <w:bottom w:w="0" w:type="dxa"/>
              <w:right w:w="108" w:type="dxa"/>
            </w:tcMar>
            <w:hideMark/>
          </w:tcPr>
          <w:p w:rsidR="00787301" w:rsidRPr="0046798C" w:rsidRDefault="00787301" w:rsidP="004E71A8">
            <w:pPr>
              <w:suppressAutoHyphens w:val="0"/>
              <w:spacing w:before="0" w:after="0" w:line="288" w:lineRule="atLeast"/>
              <w:jc w:val="center"/>
              <w:rPr>
                <w:rFonts w:eastAsia="Times New Roman" w:cs="Times New Roman"/>
                <w:color w:val="222222"/>
                <w:kern w:val="0"/>
                <w:szCs w:val="24"/>
                <w:lang w:eastAsia="tr-TR"/>
              </w:rPr>
            </w:pPr>
            <w:r w:rsidRPr="0046798C">
              <w:rPr>
                <w:rFonts w:eastAsia="Times New Roman" w:cs="Times New Roman"/>
                <w:color w:val="222222"/>
                <w:kern w:val="0"/>
                <w:szCs w:val="24"/>
                <w:lang w:eastAsia="tr-TR"/>
              </w:rPr>
              <w:t>4</w:t>
            </w:r>
          </w:p>
        </w:tc>
      </w:tr>
      <w:tr w:rsidR="00787301" w:rsidRPr="0046798C" w:rsidTr="00787301">
        <w:tc>
          <w:tcPr>
            <w:tcW w:w="3940" w:type="dxa"/>
            <w:shd w:val="clear" w:color="auto" w:fill="FFFFFF"/>
          </w:tcPr>
          <w:p w:rsidR="00787301" w:rsidRPr="0046798C" w:rsidRDefault="00787301" w:rsidP="004C253C">
            <w:pPr>
              <w:suppressAutoHyphens w:val="0"/>
              <w:spacing w:before="0" w:after="0" w:line="288" w:lineRule="atLeast"/>
              <w:jc w:val="center"/>
              <w:rPr>
                <w:rFonts w:eastAsia="Times New Roman" w:cs="Times New Roman"/>
                <w:color w:val="222222"/>
                <w:kern w:val="0"/>
                <w:szCs w:val="24"/>
                <w:lang w:eastAsia="tr-TR"/>
              </w:rPr>
            </w:pPr>
            <w:r>
              <w:rPr>
                <w:rFonts w:eastAsia="Times New Roman" w:cs="Times New Roman"/>
                <w:color w:val="222222"/>
                <w:kern w:val="0"/>
                <w:szCs w:val="24"/>
                <w:lang w:eastAsia="tr-TR"/>
              </w:rPr>
              <w:t xml:space="preserve">30’a kadar 30 </w:t>
            </w:r>
            <w:proofErr w:type="gramStart"/>
            <w:r>
              <w:rPr>
                <w:rFonts w:eastAsia="Times New Roman" w:cs="Times New Roman"/>
                <w:color w:val="222222"/>
                <w:kern w:val="0"/>
                <w:szCs w:val="24"/>
                <w:lang w:eastAsia="tr-TR"/>
              </w:rPr>
              <w:t>dahil</w:t>
            </w:r>
            <w:proofErr w:type="gramEnd"/>
          </w:p>
        </w:tc>
        <w:tc>
          <w:tcPr>
            <w:tcW w:w="3685" w:type="dxa"/>
            <w:shd w:val="clear" w:color="auto" w:fill="FFFFFF"/>
            <w:tcMar>
              <w:top w:w="0" w:type="dxa"/>
              <w:left w:w="108" w:type="dxa"/>
              <w:bottom w:w="0" w:type="dxa"/>
              <w:right w:w="108" w:type="dxa"/>
            </w:tcMar>
          </w:tcPr>
          <w:p w:rsidR="00787301" w:rsidRPr="0046798C" w:rsidRDefault="00787301" w:rsidP="004E71A8">
            <w:pPr>
              <w:suppressAutoHyphens w:val="0"/>
              <w:spacing w:before="0" w:after="0" w:line="288" w:lineRule="atLeast"/>
              <w:jc w:val="center"/>
              <w:rPr>
                <w:rFonts w:eastAsia="Times New Roman" w:cs="Times New Roman"/>
                <w:color w:val="222222"/>
                <w:kern w:val="0"/>
                <w:szCs w:val="24"/>
                <w:lang w:eastAsia="tr-TR"/>
              </w:rPr>
            </w:pPr>
            <w:r w:rsidRPr="0046798C">
              <w:rPr>
                <w:rFonts w:eastAsia="Times New Roman" w:cs="Times New Roman"/>
                <w:color w:val="222222"/>
                <w:kern w:val="0"/>
                <w:szCs w:val="24"/>
                <w:lang w:eastAsia="tr-TR"/>
              </w:rPr>
              <w:t>5</w:t>
            </w:r>
          </w:p>
        </w:tc>
      </w:tr>
    </w:tbl>
    <w:p w:rsidR="004E71A8" w:rsidRPr="0046798C" w:rsidRDefault="004E71A8" w:rsidP="004E71A8">
      <w:pPr>
        <w:shd w:val="clear" w:color="auto" w:fill="FFFFFF"/>
        <w:suppressAutoHyphens w:val="0"/>
        <w:spacing w:before="0" w:after="0" w:line="288" w:lineRule="atLeast"/>
        <w:jc w:val="left"/>
        <w:rPr>
          <w:rFonts w:eastAsia="Times New Roman" w:cs="Times New Roman"/>
          <w:color w:val="222222"/>
          <w:kern w:val="0"/>
          <w:sz w:val="19"/>
          <w:szCs w:val="19"/>
          <w:lang w:eastAsia="tr-TR"/>
        </w:rPr>
      </w:pPr>
      <w:r w:rsidRPr="0046798C">
        <w:rPr>
          <w:rFonts w:eastAsia="Times New Roman" w:cs="Times New Roman"/>
          <w:color w:val="222222"/>
          <w:kern w:val="0"/>
          <w:szCs w:val="24"/>
          <w:lang w:eastAsia="tr-TR"/>
        </w:rPr>
        <w:t> </w:t>
      </w:r>
    </w:p>
    <w:p w:rsidR="00074085" w:rsidRPr="0046798C" w:rsidRDefault="0046798C">
      <w:pPr>
        <w:rPr>
          <w:rFonts w:cs="Times New Roman"/>
        </w:rPr>
      </w:pPr>
      <w:r>
        <w:rPr>
          <w:rFonts w:eastAsia="Times New Roman" w:cs="Times New Roman"/>
          <w:color w:val="222222"/>
          <w:kern w:val="0"/>
          <w:szCs w:val="24"/>
          <w:lang w:eastAsia="tr-TR"/>
        </w:rPr>
        <w:t>(6) Merkezi yerleştirme kapsamında yapılan yatay geçiş başvurularında dikey geçiş puanı ile yata</w:t>
      </w:r>
      <w:r w:rsidR="006435D3">
        <w:rPr>
          <w:rFonts w:eastAsia="Times New Roman" w:cs="Times New Roman"/>
          <w:color w:val="222222"/>
          <w:kern w:val="0"/>
          <w:szCs w:val="24"/>
          <w:lang w:eastAsia="tr-TR"/>
        </w:rPr>
        <w:t>y</w:t>
      </w:r>
      <w:r>
        <w:rPr>
          <w:rFonts w:eastAsia="Times New Roman" w:cs="Times New Roman"/>
          <w:color w:val="222222"/>
          <w:kern w:val="0"/>
          <w:szCs w:val="24"/>
          <w:lang w:eastAsia="tr-TR"/>
        </w:rPr>
        <w:t xml:space="preserve"> geçişe tahsis edilen </w:t>
      </w:r>
      <w:r w:rsidR="006435D3">
        <w:rPr>
          <w:rFonts w:eastAsia="Times New Roman" w:cs="Times New Roman"/>
          <w:color w:val="222222"/>
          <w:kern w:val="0"/>
          <w:szCs w:val="24"/>
          <w:lang w:eastAsia="tr-TR"/>
        </w:rPr>
        <w:t>kontenjanların dolmaması durumunda boş kalan kontenjan, merkezi yerleştirme puanıyla yatay geçiş için kullanılabilir. Aynı şekilde merkezi yerleştirme puanıyla yatay geçiş için tahsis edilen kontenjanların dolmaması durumunda boş kalan kontenjan dikey geçiş puanıyla yatay geçiş için kullanılabilir.</w:t>
      </w:r>
      <w:r w:rsidR="002255A4">
        <w:rPr>
          <w:rFonts w:eastAsia="Times New Roman" w:cs="Times New Roman"/>
          <w:color w:val="222222"/>
          <w:kern w:val="0"/>
          <w:szCs w:val="24"/>
          <w:lang w:eastAsia="tr-TR"/>
        </w:rPr>
        <w:t>”</w:t>
      </w:r>
    </w:p>
    <w:sectPr w:rsidR="00074085" w:rsidRPr="00467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font306">
    <w:altName w:val="Times New Roman"/>
    <w:charset w:val="A2"/>
    <w:family w:val="auto"/>
    <w:pitch w:val="variable"/>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A8"/>
    <w:rsid w:val="00074085"/>
    <w:rsid w:val="001F5D33"/>
    <w:rsid w:val="002255A4"/>
    <w:rsid w:val="0046798C"/>
    <w:rsid w:val="004E4926"/>
    <w:rsid w:val="004E71A8"/>
    <w:rsid w:val="00581CD9"/>
    <w:rsid w:val="006435D3"/>
    <w:rsid w:val="0065043F"/>
    <w:rsid w:val="006C1BB7"/>
    <w:rsid w:val="00787301"/>
    <w:rsid w:val="009730D1"/>
    <w:rsid w:val="00EE0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F5AE7-3E0E-4BFD-87D0-9A5C65B6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26"/>
    <w:pPr>
      <w:suppressAutoHyphens/>
      <w:spacing w:before="240" w:after="120" w:line="360" w:lineRule="auto"/>
      <w:jc w:val="both"/>
    </w:pPr>
    <w:rPr>
      <w:rFonts w:cs="font306"/>
      <w:kern w:val="1"/>
      <w:sz w:val="24"/>
      <w:szCs w:val="22"/>
      <w:lang w:eastAsia="ar-SA"/>
    </w:rPr>
  </w:style>
  <w:style w:type="paragraph" w:styleId="Balk1">
    <w:name w:val="heading 1"/>
    <w:basedOn w:val="Normal"/>
    <w:next w:val="Normal"/>
    <w:link w:val="Balk1Char"/>
    <w:uiPriority w:val="9"/>
    <w:qFormat/>
    <w:rsid w:val="004E4926"/>
    <w:pPr>
      <w:keepNext/>
      <w:outlineLvl w:val="0"/>
    </w:pPr>
    <w:rPr>
      <w:rFonts w:eastAsia="Times New Roman" w:cs="Times New Roman"/>
      <w:b/>
      <w:bCs/>
      <w:kern w:val="32"/>
      <w:szCs w:val="32"/>
      <w:lang w:val="x-none"/>
    </w:rPr>
  </w:style>
  <w:style w:type="paragraph" w:styleId="Balk2">
    <w:name w:val="heading 2"/>
    <w:basedOn w:val="Normal"/>
    <w:next w:val="Normal"/>
    <w:link w:val="Balk2Char"/>
    <w:uiPriority w:val="9"/>
    <w:semiHidden/>
    <w:unhideWhenUsed/>
    <w:qFormat/>
    <w:rsid w:val="004E4926"/>
    <w:pPr>
      <w:keepNext/>
      <w:outlineLvl w:val="1"/>
    </w:pPr>
    <w:rPr>
      <w:rFonts w:eastAsiaTheme="majorEastAsia" w:cstheme="majorBidi"/>
      <w:b/>
      <w:bCs/>
      <w:iCs/>
      <w:szCs w:val="28"/>
    </w:rPr>
  </w:style>
  <w:style w:type="paragraph" w:styleId="Balk3">
    <w:name w:val="heading 3"/>
    <w:basedOn w:val="Normal"/>
    <w:next w:val="GvdeMetni"/>
    <w:link w:val="Balk3Char"/>
    <w:qFormat/>
    <w:rsid w:val="004E4926"/>
    <w:pPr>
      <w:suppressAutoHyphens w:val="0"/>
      <w:spacing w:before="280" w:after="280" w:line="240" w:lineRule="auto"/>
      <w:outlineLvl w:val="2"/>
    </w:pPr>
    <w:rPr>
      <w:rFonts w:eastAsia="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E4926"/>
    <w:rPr>
      <w:b/>
      <w:bCs/>
      <w:kern w:val="32"/>
      <w:sz w:val="24"/>
      <w:szCs w:val="32"/>
      <w:lang w:val="x-none" w:eastAsia="ar-SA"/>
    </w:rPr>
  </w:style>
  <w:style w:type="character" w:customStyle="1" w:styleId="Balk2Char">
    <w:name w:val="Başlık 2 Char"/>
    <w:basedOn w:val="VarsaylanParagrafYazTipi"/>
    <w:link w:val="Balk2"/>
    <w:uiPriority w:val="9"/>
    <w:semiHidden/>
    <w:rsid w:val="004E4926"/>
    <w:rPr>
      <w:rFonts w:eastAsiaTheme="majorEastAsia" w:cstheme="majorBidi"/>
      <w:b/>
      <w:bCs/>
      <w:iCs/>
      <w:kern w:val="1"/>
      <w:sz w:val="24"/>
      <w:szCs w:val="28"/>
      <w:lang w:eastAsia="ar-SA"/>
    </w:rPr>
  </w:style>
  <w:style w:type="character" w:customStyle="1" w:styleId="Balk3Char">
    <w:name w:val="Başlık 3 Char"/>
    <w:basedOn w:val="VarsaylanParagrafYazTipi"/>
    <w:link w:val="Balk3"/>
    <w:rsid w:val="004E4926"/>
    <w:rPr>
      <w:b/>
      <w:bCs/>
      <w:kern w:val="1"/>
      <w:sz w:val="27"/>
      <w:szCs w:val="27"/>
      <w:lang w:eastAsia="ar-SA"/>
    </w:rPr>
  </w:style>
  <w:style w:type="paragraph" w:styleId="GvdeMetni">
    <w:name w:val="Body Text"/>
    <w:basedOn w:val="Normal"/>
    <w:link w:val="GvdeMetniChar"/>
    <w:uiPriority w:val="99"/>
    <w:semiHidden/>
    <w:unhideWhenUsed/>
    <w:rsid w:val="004E4926"/>
  </w:style>
  <w:style w:type="character" w:customStyle="1" w:styleId="GvdeMetniChar">
    <w:name w:val="Gövde Metni Char"/>
    <w:basedOn w:val="VarsaylanParagrafYazTipi"/>
    <w:link w:val="GvdeMetni"/>
    <w:uiPriority w:val="99"/>
    <w:semiHidden/>
    <w:rsid w:val="004E4926"/>
    <w:rPr>
      <w:rFonts w:eastAsia="Lucida Sans Unicode" w:cs="font306"/>
      <w:kern w:val="1"/>
      <w:sz w:val="24"/>
      <w:szCs w:val="22"/>
      <w:lang w:eastAsia="ar-SA"/>
    </w:rPr>
  </w:style>
  <w:style w:type="paragraph" w:styleId="KonuBal">
    <w:name w:val="Title"/>
    <w:basedOn w:val="Normal"/>
    <w:next w:val="Normal"/>
    <w:link w:val="KonuBalChar"/>
    <w:uiPriority w:val="10"/>
    <w:qFormat/>
    <w:rsid w:val="004E4926"/>
    <w:pPr>
      <w:spacing w:after="60"/>
      <w:jc w:val="center"/>
      <w:outlineLvl w:val="0"/>
    </w:pPr>
    <w:rPr>
      <w:rFonts w:ascii="Cambria" w:eastAsia="Times New Roman" w:hAnsi="Cambria" w:cs="Times New Roman"/>
      <w:b/>
      <w:bCs/>
      <w:kern w:val="28"/>
      <w:sz w:val="32"/>
      <w:szCs w:val="32"/>
    </w:rPr>
  </w:style>
  <w:style w:type="character" w:customStyle="1" w:styleId="KonuBalChar">
    <w:name w:val="Konu Başlığı Char"/>
    <w:link w:val="KonuBal"/>
    <w:uiPriority w:val="10"/>
    <w:rsid w:val="004E4926"/>
    <w:rPr>
      <w:rFonts w:ascii="Cambria" w:hAnsi="Cambria"/>
      <w:b/>
      <w:bCs/>
      <w:kern w:val="28"/>
      <w:sz w:val="32"/>
      <w:szCs w:val="32"/>
      <w:lang w:eastAsia="ar-SA"/>
    </w:rPr>
  </w:style>
  <w:style w:type="character" w:styleId="Gl">
    <w:name w:val="Strong"/>
    <w:qFormat/>
    <w:rsid w:val="004E4926"/>
    <w:rPr>
      <w:b/>
      <w:bCs/>
    </w:rPr>
  </w:style>
  <w:style w:type="paragraph" w:styleId="AralkYok">
    <w:name w:val="No Spacing"/>
    <w:uiPriority w:val="1"/>
    <w:qFormat/>
    <w:rsid w:val="004E4926"/>
    <w:pPr>
      <w:suppressAutoHyphens/>
    </w:pPr>
    <w:rPr>
      <w:rFonts w:ascii="Calibri" w:hAnsi="Calibri" w:cs="font306"/>
      <w:kern w:val="1"/>
      <w:sz w:val="22"/>
      <w:szCs w:val="22"/>
      <w:lang w:eastAsia="ar-SA"/>
    </w:rPr>
  </w:style>
  <w:style w:type="paragraph" w:styleId="NormalWeb">
    <w:name w:val="Normal (Web)"/>
    <w:basedOn w:val="Normal"/>
    <w:uiPriority w:val="99"/>
    <w:semiHidden/>
    <w:unhideWhenUsed/>
    <w:rsid w:val="004E71A8"/>
    <w:pPr>
      <w:suppressAutoHyphens w:val="0"/>
      <w:spacing w:before="100" w:beforeAutospacing="1" w:after="100" w:afterAutospacing="1" w:line="240" w:lineRule="auto"/>
      <w:jc w:val="left"/>
    </w:pPr>
    <w:rPr>
      <w:rFonts w:eastAsia="Times New Roman" w:cs="Times New Roman"/>
      <w:kern w:val="0"/>
      <w:szCs w:val="24"/>
      <w:lang w:eastAsia="tr-TR"/>
    </w:rPr>
  </w:style>
  <w:style w:type="character" w:customStyle="1" w:styleId="apple-converted-space">
    <w:name w:val="apple-converted-space"/>
    <w:basedOn w:val="VarsaylanParagrafYazTipi"/>
    <w:rsid w:val="004E71A8"/>
  </w:style>
  <w:style w:type="paragraph" w:styleId="BalonMetni">
    <w:name w:val="Balloon Text"/>
    <w:basedOn w:val="Normal"/>
    <w:link w:val="BalonMetniChar"/>
    <w:uiPriority w:val="99"/>
    <w:semiHidden/>
    <w:unhideWhenUsed/>
    <w:rsid w:val="004E71A8"/>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71A8"/>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UNIVERSTESI</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MusaEken</dc:creator>
  <cp:lastModifiedBy>Sau</cp:lastModifiedBy>
  <cp:revision>2</cp:revision>
  <cp:lastPrinted>2016-09-08T11:09:00Z</cp:lastPrinted>
  <dcterms:created xsi:type="dcterms:W3CDTF">2016-11-02T09:11:00Z</dcterms:created>
  <dcterms:modified xsi:type="dcterms:W3CDTF">2016-11-02T09:11:00Z</dcterms:modified>
</cp:coreProperties>
</file>